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D866A" w14:textId="3C2A2F92" w:rsidR="009508FD" w:rsidRPr="00B1558C" w:rsidRDefault="002E6B50">
      <w:pPr>
        <w:rPr>
          <w:b/>
          <w:bCs/>
          <w:sz w:val="28"/>
          <w:szCs w:val="28"/>
        </w:rPr>
      </w:pPr>
      <w:r w:rsidRPr="00B1558C">
        <w:rPr>
          <w:b/>
          <w:bCs/>
          <w:sz w:val="28"/>
          <w:szCs w:val="28"/>
        </w:rPr>
        <w:t>DCP 442</w:t>
      </w:r>
      <w:r w:rsidR="00F14EBA" w:rsidRPr="00B1558C">
        <w:rPr>
          <w:b/>
          <w:bCs/>
          <w:sz w:val="28"/>
          <w:szCs w:val="28"/>
        </w:rPr>
        <w:t xml:space="preserve"> ‘Aligning enduring flexible connections’</w:t>
      </w:r>
    </w:p>
    <w:p w14:paraId="461AC145" w14:textId="46222642" w:rsidR="00F14EBA" w:rsidRDefault="00F14EBA">
      <w:pPr>
        <w:rPr>
          <w:b/>
          <w:bCs/>
        </w:rPr>
      </w:pPr>
      <w:r w:rsidRPr="00B1558C">
        <w:rPr>
          <w:b/>
          <w:bCs/>
        </w:rPr>
        <w:t>Action 01/01</w:t>
      </w:r>
      <w:r w:rsidR="002B7DEF" w:rsidRPr="00B1558C">
        <w:rPr>
          <w:b/>
          <w:bCs/>
        </w:rPr>
        <w:t xml:space="preserve">: </w:t>
      </w:r>
      <w:r w:rsidR="002146CC">
        <w:rPr>
          <w:b/>
          <w:bCs/>
        </w:rPr>
        <w:t xml:space="preserve">Arguments </w:t>
      </w:r>
      <w:r w:rsidR="00E53174">
        <w:rPr>
          <w:b/>
          <w:bCs/>
        </w:rPr>
        <w:t>for</w:t>
      </w:r>
      <w:r w:rsidR="0070011C" w:rsidRPr="00B1558C">
        <w:rPr>
          <w:b/>
          <w:bCs/>
        </w:rPr>
        <w:t xml:space="preserve"> and </w:t>
      </w:r>
      <w:r w:rsidR="00E53174">
        <w:rPr>
          <w:b/>
          <w:bCs/>
        </w:rPr>
        <w:t xml:space="preserve">against </w:t>
      </w:r>
      <w:r w:rsidR="00AE5735">
        <w:rPr>
          <w:b/>
          <w:bCs/>
        </w:rPr>
        <w:t>the proposal</w:t>
      </w:r>
      <w:r w:rsidR="009B6744">
        <w:rPr>
          <w:b/>
          <w:bCs/>
        </w:rPr>
        <w:t xml:space="preserve"> (solution as proposed only)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171"/>
        <w:gridCol w:w="5172"/>
      </w:tblGrid>
      <w:tr w:rsidR="00B108FD" w14:paraId="596E452A" w14:textId="77777777" w:rsidTr="00D166B4">
        <w:trPr>
          <w:tblHeader/>
        </w:trPr>
        <w:tc>
          <w:tcPr>
            <w:tcW w:w="5171" w:type="dxa"/>
            <w:shd w:val="clear" w:color="auto" w:fill="AB1236"/>
          </w:tcPr>
          <w:p w14:paraId="651E222C" w14:textId="17003F47" w:rsidR="00B108FD" w:rsidRPr="0023724E" w:rsidRDefault="00B108FD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For</w:t>
            </w:r>
          </w:p>
        </w:tc>
        <w:tc>
          <w:tcPr>
            <w:tcW w:w="5172" w:type="dxa"/>
            <w:shd w:val="clear" w:color="auto" w:fill="AB1236"/>
          </w:tcPr>
          <w:p w14:paraId="5011E440" w14:textId="4CDBFA78" w:rsidR="00B108FD" w:rsidRPr="0023724E" w:rsidRDefault="00B108FD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Against</w:t>
            </w:r>
          </w:p>
        </w:tc>
      </w:tr>
      <w:tr w:rsidR="00B108FD" w14:paraId="5E2D8E96" w14:textId="77777777" w:rsidTr="00AF6CDF">
        <w:trPr>
          <w:trHeight w:val="8194"/>
        </w:trPr>
        <w:tc>
          <w:tcPr>
            <w:tcW w:w="5171" w:type="dxa"/>
          </w:tcPr>
          <w:p w14:paraId="51933E24" w14:textId="2E2A51AE" w:rsidR="00D63BB0" w:rsidRDefault="00B108FD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Removes distortions between Flexible Connection and a Curtailable Connection; the latter is not always available to a </w:t>
            </w:r>
            <w:proofErr w:type="gramStart"/>
            <w:r>
              <w:t>Customer</w:t>
            </w:r>
            <w:proofErr w:type="gramEnd"/>
            <w:r>
              <w:t xml:space="preserve"> of the former.</w:t>
            </w:r>
            <w:r w:rsidR="00D63BB0">
              <w:rPr>
                <w:rStyle w:val="EndnoteReference"/>
              </w:rPr>
              <w:endnoteReference w:id="1"/>
            </w:r>
          </w:p>
          <w:p w14:paraId="1C935D6F" w14:textId="27895450" w:rsidR="00D63BB0" w:rsidRDefault="00D63BB0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Better supports efficient network </w:t>
            </w:r>
            <w:proofErr w:type="gramStart"/>
            <w:r>
              <w:t>development:</w:t>
            </w:r>
            <w:proofErr w:type="gramEnd"/>
            <w:r>
              <w:t xml:space="preserve"> otherwise risks inefficient Net Zero delivery.</w:t>
            </w:r>
            <w:r>
              <w:rPr>
                <w:rStyle w:val="EndnoteReference"/>
              </w:rPr>
              <w:endnoteReference w:id="2"/>
            </w:r>
          </w:p>
          <w:p w14:paraId="53A3C000" w14:textId="606E0D2B" w:rsidR="00D63BB0" w:rsidRDefault="00D63BB0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A Curtailable Connection is principally intended to facilitate a quicker connection prior to Reinforcement being completed.</w:t>
            </w:r>
            <w:r>
              <w:rPr>
                <w:rStyle w:val="EndnoteReference"/>
              </w:rPr>
              <w:endnoteReference w:id="3"/>
            </w:r>
            <w:r>
              <w:t xml:space="preserve"> A Flexible Connection is already an effective and efficient enduring arrangement.</w:t>
            </w:r>
          </w:p>
          <w:p w14:paraId="791B5F54" w14:textId="3D186629" w:rsidR="00D63BB0" w:rsidRDefault="00D63BB0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A bespoke forecast of curtailment can be provided by the DNO/IDNO Party regardless (likely more accurate than the Curtailment Limit).</w:t>
            </w:r>
          </w:p>
          <w:p w14:paraId="20A65DAB" w14:textId="0CD8C89D" w:rsidR="00D63BB0" w:rsidRDefault="00D63BB0" w:rsidP="00373B2E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Addressed impracticalities.</w:t>
            </w:r>
            <w:r>
              <w:rPr>
                <w:rStyle w:val="EndnoteReference"/>
              </w:rPr>
              <w:endnoteReference w:id="4"/>
            </w:r>
            <w:r>
              <w:t xml:space="preserve"> A Curtailable Connection requires lifetime management by a DNO/IDNO Party including quarterly reporting to the Customer. A Flexible Connection can largely be ‘fit and forget’; but network ‘access’ may be the same.</w:t>
            </w:r>
          </w:p>
          <w:p w14:paraId="37D14D60" w14:textId="36F88301" w:rsidR="00383488" w:rsidRDefault="00383488" w:rsidP="00373B2E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The practical concern that </w:t>
            </w:r>
            <w:r w:rsidR="00806814">
              <w:t>enduring Curtailable Connections may drive higher utilisation costs for Distribution Flexibility Services</w:t>
            </w:r>
            <w:r>
              <w:t xml:space="preserve"> </w:t>
            </w:r>
            <w:r w:rsidR="006A3E0B">
              <w:t>risk impacting market liquidity</w:t>
            </w:r>
            <w:r w:rsidR="00632EE4">
              <w:t xml:space="preserve"> – network operators</w:t>
            </w:r>
            <w:r w:rsidR="00373623">
              <w:t xml:space="preserve"> must monitor procurement costs which in turn impact the Exceeded Curtailment Price.</w:t>
            </w:r>
            <w:r w:rsidR="00FA1EBD">
              <w:rPr>
                <w:rStyle w:val="EndnoteReference"/>
              </w:rPr>
              <w:endnoteReference w:id="5"/>
            </w:r>
          </w:p>
          <w:p w14:paraId="36E6755B" w14:textId="7E497A05" w:rsidR="00D63BB0" w:rsidRDefault="00D63BB0" w:rsidP="009B42EF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Addresses </w:t>
            </w:r>
            <w:r w:rsidR="00AD56DD">
              <w:t xml:space="preserve">‘fairness’ issues including </w:t>
            </w:r>
            <w:r>
              <w:t>risk of ‘</w:t>
            </w:r>
            <w:proofErr w:type="gramStart"/>
            <w:r>
              <w:t>free-riding</w:t>
            </w:r>
            <w:proofErr w:type="gramEnd"/>
            <w:r>
              <w:t>’ and on an ‘unlevel playing field’.</w:t>
            </w:r>
            <w:r>
              <w:rPr>
                <w:rStyle w:val="EndnoteReference"/>
              </w:rPr>
              <w:endnoteReference w:id="6"/>
            </w:r>
            <w:r>
              <w:t xml:space="preserve"> Mitigates increased cost socialisation.</w:t>
            </w:r>
            <w:r w:rsidR="00AD56DD">
              <w:rPr>
                <w:rStyle w:val="EndnoteReference"/>
              </w:rPr>
              <w:endnoteReference w:id="7"/>
            </w:r>
          </w:p>
          <w:p w14:paraId="617F4110" w14:textId="66FE2E26" w:rsidR="00D63BB0" w:rsidRDefault="00D63BB0" w:rsidP="009B42EF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Removes opportunity to avoid network costs triggered by a connecting party; where </w:t>
            </w:r>
            <w:proofErr w:type="gramStart"/>
            <w:r>
              <w:t>the majority of</w:t>
            </w:r>
            <w:proofErr w:type="gramEnd"/>
            <w:r>
              <w:t xml:space="preserve"> Reinforcement is paid for by the DNO Party and recovered through Use of System Charges already.</w:t>
            </w:r>
          </w:p>
          <w:p w14:paraId="4449563C" w14:textId="63F6167D" w:rsidR="003F3939" w:rsidRDefault="00B25830" w:rsidP="003F3939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Retains the protection of </w:t>
            </w:r>
            <w:r w:rsidR="00D63BB0">
              <w:t xml:space="preserve">the High-Cost Project Threshold </w:t>
            </w:r>
            <w:r w:rsidR="00623592">
              <w:t xml:space="preserve">to DUoS </w:t>
            </w:r>
            <w:r w:rsidR="0015087E">
              <w:t>customers</w:t>
            </w:r>
            <w:r w:rsidR="00D63BB0">
              <w:t xml:space="preserve"> </w:t>
            </w:r>
            <w:r w:rsidR="00623592">
              <w:t xml:space="preserve">at large from </w:t>
            </w:r>
            <w:r w:rsidR="00D63BB0">
              <w:t xml:space="preserve">disproportionate </w:t>
            </w:r>
            <w:r w:rsidR="00C10656">
              <w:t>Reinforcement costs</w:t>
            </w:r>
            <w:r w:rsidR="00D63BB0">
              <w:t xml:space="preserve"> relative to capacity requirements</w:t>
            </w:r>
            <w:r w:rsidR="00E15FB7">
              <w:t>. An</w:t>
            </w:r>
            <w:r w:rsidR="00D63BB0">
              <w:t xml:space="preserve"> eligible Customer can choose to not pay this and opt for an enduring Curtailable Connection</w:t>
            </w:r>
            <w:r w:rsidR="00E15FB7">
              <w:t xml:space="preserve"> instead</w:t>
            </w:r>
            <w:r w:rsidR="009A18C5">
              <w:t xml:space="preserve">; whereas a Curtailable Connection that converts to a Non-Curtailable Connection </w:t>
            </w:r>
            <w:r w:rsidR="00C10656">
              <w:t>cannot avoid such costs</w:t>
            </w:r>
            <w:r w:rsidR="00D63BB0">
              <w:t>.</w:t>
            </w:r>
          </w:p>
          <w:p w14:paraId="63DA30D2" w14:textId="6248569E" w:rsidR="00D63BB0" w:rsidRDefault="00D63BB0" w:rsidP="009B42EF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Addresses </w:t>
            </w:r>
            <w:proofErr w:type="gramStart"/>
            <w:r>
              <w:t>principle</w:t>
            </w:r>
            <w:proofErr w:type="gramEnd"/>
            <w:r>
              <w:t xml:space="preserve"> issues regardless of proportionality.</w:t>
            </w:r>
            <w:r>
              <w:rPr>
                <w:rStyle w:val="EndnoteReference"/>
              </w:rPr>
              <w:endnoteReference w:id="8"/>
            </w:r>
          </w:p>
        </w:tc>
        <w:tc>
          <w:tcPr>
            <w:tcW w:w="5172" w:type="dxa"/>
          </w:tcPr>
          <w:p w14:paraId="35B650EE" w14:textId="15602897" w:rsidR="00D63BB0" w:rsidRDefault="00D63BB0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Removes protection for the Customer via the Curtailment Limit and potential annual payment.</w:t>
            </w:r>
            <w:r>
              <w:rPr>
                <w:rStyle w:val="EndnoteReference"/>
              </w:rPr>
              <w:endnoteReference w:id="9"/>
            </w:r>
            <w:r>
              <w:t xml:space="preserve"> A Customer is more likely to accept enduring ‘access’ that can be constrained by the DNO/IDNO Party when the risk is better defined.</w:t>
            </w:r>
            <w:r>
              <w:rPr>
                <w:rStyle w:val="EndnoteReference"/>
              </w:rPr>
              <w:endnoteReference w:id="10"/>
            </w:r>
          </w:p>
          <w:p w14:paraId="6F5E8314" w14:textId="32B12B51" w:rsidR="00D63BB0" w:rsidRDefault="00FF177A" w:rsidP="00FF177A">
            <w:pPr>
              <w:pStyle w:val="ListParagraph"/>
              <w:ind w:left="325"/>
            </w:pPr>
            <w:r>
              <w:t>This may</w:t>
            </w:r>
            <w:r w:rsidR="00D63BB0">
              <w:t xml:space="preserve"> </w:t>
            </w:r>
            <w:r>
              <w:t>impact</w:t>
            </w:r>
            <w:r w:rsidR="00D63BB0">
              <w:t xml:space="preserve"> the transition to Net Zero.</w:t>
            </w:r>
          </w:p>
          <w:p w14:paraId="0F8E8926" w14:textId="2501DDAF" w:rsidR="00D63BB0" w:rsidRDefault="00D63BB0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Paying a </w:t>
            </w:r>
            <w:proofErr w:type="gramStart"/>
            <w:r>
              <w:t>Customer</w:t>
            </w:r>
            <w:proofErr w:type="gramEnd"/>
            <w:r>
              <w:t xml:space="preserve"> with an enduring Curtailable Connection (that may have refused to contribute to the cost of Reinforcement) may never happen.</w:t>
            </w:r>
            <w:r>
              <w:rPr>
                <w:rStyle w:val="EndnoteReference"/>
              </w:rPr>
              <w:endnoteReference w:id="11"/>
            </w:r>
          </w:p>
          <w:p w14:paraId="48CB7BE5" w14:textId="1A44BCF5" w:rsidR="00D63BB0" w:rsidRDefault="003019E7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T</w:t>
            </w:r>
            <w:r w:rsidR="00D63BB0">
              <w:t xml:space="preserve">here are </w:t>
            </w:r>
            <w:r>
              <w:t>a small</w:t>
            </w:r>
            <w:r w:rsidR="00D63BB0">
              <w:t xml:space="preserve"> number</w:t>
            </w:r>
            <w:r>
              <w:t xml:space="preserve"> of </w:t>
            </w:r>
            <w:r w:rsidR="00D63BB0">
              <w:t>Curtailable Connections</w:t>
            </w:r>
            <w:r>
              <w:t xml:space="preserve"> (time limited or enduring) which may limit the benefit</w:t>
            </w:r>
            <w:r w:rsidR="00D63BB0">
              <w:t>.</w:t>
            </w:r>
          </w:p>
          <w:p w14:paraId="19DC8173" w14:textId="77777777" w:rsidR="00D63BB0" w:rsidRDefault="00D63BB0" w:rsidP="00832F37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Further, a </w:t>
            </w:r>
            <w:proofErr w:type="gramStart"/>
            <w:r>
              <w:t>Customer</w:t>
            </w:r>
            <w:proofErr w:type="gramEnd"/>
            <w:r>
              <w:t xml:space="preserve"> may be more likely to want a Curtailment End Date, and therefore convert to a Non-Curtailable Connection (the Access SCR Decision resulted in the cost of Reinforcement generally being socialised).</w:t>
            </w:r>
          </w:p>
          <w:p w14:paraId="6C79EF2D" w14:textId="0257136D" w:rsidR="00D63BB0" w:rsidRDefault="00D63BB0" w:rsidP="00832F37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The accuracy of the </w:t>
            </w:r>
            <w:r w:rsidRPr="009A03D7">
              <w:t xml:space="preserve">Curtailment Limit </w:t>
            </w:r>
            <w:r>
              <w:t xml:space="preserve">is a direct output of the provisions of </w:t>
            </w:r>
            <w:r w:rsidRPr="009A03D7">
              <w:t>DCUSA Schedule 2D</w:t>
            </w:r>
            <w:r>
              <w:t xml:space="preserve"> – and could therefore be brought into line with a forecast of curtailment.</w:t>
            </w:r>
            <w:r>
              <w:rPr>
                <w:rStyle w:val="EndnoteReference"/>
              </w:rPr>
              <w:endnoteReference w:id="12"/>
            </w:r>
          </w:p>
          <w:p w14:paraId="6278E9A8" w14:textId="689CB9DC" w:rsidR="00731E37" w:rsidRDefault="00731E37" w:rsidP="00832F37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A flexible connection is not as transparent to the customer because the DNO/IDNO is not obligated to provide the same level of curtailment related information to the customer.</w:t>
            </w:r>
          </w:p>
          <w:p w14:paraId="032867B2" w14:textId="77777777" w:rsidR="00B108FD" w:rsidRDefault="00B108FD" w:rsidP="00832F37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The impracticality concerns, specifically the enduring appropriateness of the Curtailment Limit (i.e. reflecting changing network conditions), may be more weighted towards import constraints.</w:t>
            </w:r>
          </w:p>
          <w:p w14:paraId="448FDD67" w14:textId="54C594E9" w:rsidR="00B108FD" w:rsidRPr="00925CE9" w:rsidRDefault="00925CE9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 w:rsidRPr="00D166B4">
              <w:t>Trigg</w:t>
            </w:r>
            <w:r>
              <w:t>ering Reinforcement not paid for by the Customer of an enduring Curtailable Connection</w:t>
            </w:r>
            <w:r w:rsidR="002A3AF8">
              <w:t xml:space="preserve"> could be viewed as economical: an assessment would be carried out to determine if it is more economical to Reinforce or procur</w:t>
            </w:r>
            <w:r w:rsidR="00774307">
              <w:t>e Distribution Flexibility Service</w:t>
            </w:r>
            <w:r w:rsidR="009F4687">
              <w:t>s</w:t>
            </w:r>
            <w:r w:rsidR="00774307">
              <w:t>.</w:t>
            </w:r>
            <w:r w:rsidR="00690020">
              <w:rPr>
                <w:rStyle w:val="EndnoteReference"/>
              </w:rPr>
              <w:endnoteReference w:id="13"/>
            </w:r>
            <w:r w:rsidR="00690020" w:rsidRPr="00690020" w:rsidDel="00B108FD">
              <w:t xml:space="preserve"> </w:t>
            </w:r>
          </w:p>
        </w:tc>
      </w:tr>
    </w:tbl>
    <w:p w14:paraId="6C340FA6" w14:textId="6A69A7BC" w:rsidR="00301EF0" w:rsidRPr="00B1558C" w:rsidRDefault="00301EF0" w:rsidP="00301EF0">
      <w:pPr>
        <w:rPr>
          <w:b/>
          <w:bCs/>
          <w:sz w:val="28"/>
          <w:szCs w:val="28"/>
        </w:rPr>
      </w:pPr>
      <w:r>
        <w:br w:type="page"/>
      </w:r>
      <w:r w:rsidRPr="00B1558C">
        <w:rPr>
          <w:b/>
          <w:bCs/>
          <w:sz w:val="28"/>
          <w:szCs w:val="28"/>
        </w:rPr>
        <w:lastRenderedPageBreak/>
        <w:t>DCP 442 ‘Aligning enduring flexible connections’</w:t>
      </w:r>
    </w:p>
    <w:p w14:paraId="24493C82" w14:textId="27A51F54" w:rsidR="00301EF0" w:rsidRDefault="00301EF0" w:rsidP="00301EF0">
      <w:pPr>
        <w:rPr>
          <w:b/>
          <w:bCs/>
        </w:rPr>
      </w:pPr>
      <w:r w:rsidRPr="00B1558C">
        <w:rPr>
          <w:b/>
          <w:bCs/>
        </w:rPr>
        <w:t>Action 01/0</w:t>
      </w:r>
      <w:r>
        <w:rPr>
          <w:b/>
          <w:bCs/>
        </w:rPr>
        <w:t>2</w:t>
      </w:r>
      <w:r w:rsidRPr="00B1558C">
        <w:rPr>
          <w:b/>
          <w:bCs/>
        </w:rPr>
        <w:t xml:space="preserve">: </w:t>
      </w:r>
      <w:r>
        <w:rPr>
          <w:b/>
          <w:bCs/>
        </w:rPr>
        <w:t>Options</w:t>
      </w:r>
      <w:r w:rsidRPr="00B1558C">
        <w:rPr>
          <w:b/>
          <w:bCs/>
        </w:rPr>
        <w:t xml:space="preserve"> </w:t>
      </w:r>
      <w:r w:rsidR="002146CC">
        <w:rPr>
          <w:b/>
          <w:bCs/>
        </w:rPr>
        <w:t xml:space="preserve">assessment </w:t>
      </w:r>
      <w:r w:rsidR="0008565D">
        <w:rPr>
          <w:b/>
          <w:bCs/>
        </w:rPr>
        <w:t>(relative to the baseline for options 2-</w:t>
      </w:r>
      <w:r w:rsidR="007A014A">
        <w:rPr>
          <w:b/>
          <w:bCs/>
        </w:rPr>
        <w:t>4</w:t>
      </w:r>
      <w:r w:rsidR="0008565D">
        <w:rPr>
          <w:b/>
          <w:bCs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05"/>
        <w:gridCol w:w="4025"/>
        <w:gridCol w:w="4026"/>
      </w:tblGrid>
      <w:tr w:rsidR="00301EF0" w14:paraId="2F28838D" w14:textId="77777777" w:rsidTr="00531EE5">
        <w:tc>
          <w:tcPr>
            <w:tcW w:w="2405" w:type="dxa"/>
            <w:shd w:val="clear" w:color="auto" w:fill="AB1236"/>
          </w:tcPr>
          <w:p w14:paraId="28A2FB9A" w14:textId="3E85C0F7" w:rsidR="00301EF0" w:rsidRPr="0023724E" w:rsidRDefault="00E76465" w:rsidP="00531EE5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Option</w:t>
            </w:r>
          </w:p>
        </w:tc>
        <w:tc>
          <w:tcPr>
            <w:tcW w:w="4025" w:type="dxa"/>
            <w:shd w:val="clear" w:color="auto" w:fill="AB1236"/>
          </w:tcPr>
          <w:p w14:paraId="0F9B1B84" w14:textId="72FB2CA0" w:rsidR="00301EF0" w:rsidRPr="0023724E" w:rsidRDefault="0059095F" w:rsidP="00531EE5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For</w:t>
            </w:r>
          </w:p>
        </w:tc>
        <w:tc>
          <w:tcPr>
            <w:tcW w:w="4026" w:type="dxa"/>
            <w:shd w:val="clear" w:color="auto" w:fill="AB1236"/>
          </w:tcPr>
          <w:p w14:paraId="4C7B3EE4" w14:textId="0D188357" w:rsidR="00301EF0" w:rsidRPr="0023724E" w:rsidRDefault="0059095F" w:rsidP="00531EE5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Against</w:t>
            </w:r>
          </w:p>
        </w:tc>
      </w:tr>
      <w:tr w:rsidR="00301EF0" w14:paraId="2D686540" w14:textId="77777777" w:rsidTr="0008565D">
        <w:tc>
          <w:tcPr>
            <w:tcW w:w="2405" w:type="dxa"/>
            <w:shd w:val="clear" w:color="auto" w:fill="D9D9D9" w:themeFill="background1" w:themeFillShade="D9"/>
          </w:tcPr>
          <w:p w14:paraId="404B8014" w14:textId="37C426D3" w:rsidR="00301EF0" w:rsidRDefault="00E76465" w:rsidP="0054630F">
            <w:pPr>
              <w:pStyle w:val="ListParagraph"/>
              <w:numPr>
                <w:ilvl w:val="0"/>
                <w:numId w:val="2"/>
              </w:numPr>
              <w:ind w:left="309"/>
            </w:pPr>
            <w:r>
              <w:t xml:space="preserve">As </w:t>
            </w:r>
            <w:r w:rsidRPr="00401910">
              <w:rPr>
                <w:b/>
                <w:bCs/>
              </w:rPr>
              <w:t>proposed</w:t>
            </w:r>
            <w:r w:rsidR="0054630F">
              <w:t xml:space="preserve"> (enduring </w:t>
            </w:r>
            <w:r w:rsidR="003A535A">
              <w:t>Flexible</w:t>
            </w:r>
            <w:r w:rsidR="0054630F">
              <w:t xml:space="preserve"> Connection</w:t>
            </w:r>
            <w:r w:rsidR="003A535A">
              <w:t xml:space="preserve"> only</w:t>
            </w:r>
            <w:r w:rsidR="0054630F">
              <w:t>)</w:t>
            </w:r>
          </w:p>
        </w:tc>
        <w:tc>
          <w:tcPr>
            <w:tcW w:w="4025" w:type="dxa"/>
            <w:shd w:val="clear" w:color="auto" w:fill="D9D9D9" w:themeFill="background1" w:themeFillShade="D9"/>
          </w:tcPr>
          <w:p w14:paraId="32F34F23" w14:textId="7CCEA0F0" w:rsidR="00FE4FA3" w:rsidRDefault="00FE4FA3" w:rsidP="00FE4FA3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Removes distortions</w:t>
            </w:r>
            <w:r w:rsidR="00270CC3">
              <w:t xml:space="preserve"> between</w:t>
            </w:r>
            <w:r w:rsidR="00087982">
              <w:t xml:space="preserve"> the</w:t>
            </w:r>
            <w:r w:rsidR="00270CC3">
              <w:t xml:space="preserve"> type</w:t>
            </w:r>
            <w:r w:rsidR="00087982">
              <w:t>s</w:t>
            </w:r>
            <w:r w:rsidR="00270CC3">
              <w:t xml:space="preserve"> of flexible</w:t>
            </w:r>
            <w:r w:rsidR="00087982">
              <w:t xml:space="preserve"> connection</w:t>
            </w:r>
            <w:r w:rsidR="00120C50">
              <w:t>.</w:t>
            </w:r>
          </w:p>
          <w:p w14:paraId="66F17EB4" w14:textId="1E011033" w:rsidR="00107608" w:rsidRDefault="00107608" w:rsidP="00FE4FA3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More</w:t>
            </w:r>
            <w:r w:rsidR="00B52CFD">
              <w:t xml:space="preserve"> efficient network development</w:t>
            </w:r>
            <w:r w:rsidR="00120C50">
              <w:t>.</w:t>
            </w:r>
          </w:p>
          <w:p w14:paraId="31999001" w14:textId="29D7357E" w:rsidR="00B52CFD" w:rsidRDefault="002C08C7" w:rsidP="00FE4FA3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Does not affect the principal purpose of a Curtailable Connection</w:t>
            </w:r>
            <w:r w:rsidR="00120C50">
              <w:t>.</w:t>
            </w:r>
          </w:p>
          <w:p w14:paraId="70CEF43E" w14:textId="402BE8C2" w:rsidR="002C08C7" w:rsidRDefault="002C08C7" w:rsidP="002C08C7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Retains an enduring type of flexible connection (which may impact the Customer </w:t>
            </w:r>
            <w:proofErr w:type="gramStart"/>
            <w:r>
              <w:t>exactly the same</w:t>
            </w:r>
            <w:proofErr w:type="gramEnd"/>
            <w:r>
              <w:t>)</w:t>
            </w:r>
            <w:r w:rsidR="00120C50">
              <w:t>.</w:t>
            </w:r>
          </w:p>
          <w:p w14:paraId="762E8F2E" w14:textId="6F8D26FA" w:rsidR="00FE4FA3" w:rsidRDefault="000B598C" w:rsidP="00FE4FA3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Addresses </w:t>
            </w:r>
            <w:r w:rsidR="004973B6">
              <w:t>im</w:t>
            </w:r>
            <w:r>
              <w:t>practical</w:t>
            </w:r>
            <w:r w:rsidR="004973B6">
              <w:t>ities</w:t>
            </w:r>
            <w:r w:rsidR="00120C50">
              <w:t>.</w:t>
            </w:r>
          </w:p>
          <w:p w14:paraId="0222043E" w14:textId="151D301F" w:rsidR="000B598C" w:rsidRDefault="000B598C" w:rsidP="00FE4FA3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Addresses ‘fairness’ issu</w:t>
            </w:r>
            <w:r w:rsidR="000C4798">
              <w:t>es</w:t>
            </w:r>
            <w:r w:rsidR="00120C50">
              <w:t>.</w:t>
            </w:r>
          </w:p>
          <w:p w14:paraId="0CA6400A" w14:textId="38DDE04F" w:rsidR="0038407E" w:rsidRDefault="0038407E" w:rsidP="00FE4FA3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Addresses </w:t>
            </w:r>
            <w:proofErr w:type="gramStart"/>
            <w:r>
              <w:t>principle</w:t>
            </w:r>
            <w:proofErr w:type="gramEnd"/>
            <w:r w:rsidR="00A734F7">
              <w:t xml:space="preserve"> defects</w:t>
            </w:r>
            <w:r>
              <w:t>.</w:t>
            </w:r>
          </w:p>
          <w:p w14:paraId="07B69304" w14:textId="1BCBCCF0" w:rsidR="00C15291" w:rsidRDefault="00C15291" w:rsidP="00C15291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Simple</w:t>
            </w:r>
            <w:r w:rsidR="00120C50">
              <w:t>.</w:t>
            </w:r>
          </w:p>
          <w:p w14:paraId="2B7D6086" w14:textId="7481C516" w:rsidR="00C15291" w:rsidRDefault="00C15291" w:rsidP="00C15291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Transparent</w:t>
            </w:r>
            <w:r w:rsidR="00120C50">
              <w:t>.</w:t>
            </w:r>
          </w:p>
        </w:tc>
        <w:tc>
          <w:tcPr>
            <w:tcW w:w="4026" w:type="dxa"/>
            <w:shd w:val="clear" w:color="auto" w:fill="D9D9D9" w:themeFill="background1" w:themeFillShade="D9"/>
          </w:tcPr>
          <w:p w14:paraId="5A52C668" w14:textId="3172DC26" w:rsidR="00301EF0" w:rsidRDefault="000C4798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Removes Customer protections</w:t>
            </w:r>
            <w:r w:rsidR="00120C50">
              <w:t>.</w:t>
            </w:r>
          </w:p>
          <w:p w14:paraId="38248866" w14:textId="329AD6C5" w:rsidR="005278C8" w:rsidRDefault="00B3241A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Issues may be manageable at least in the short-term</w:t>
            </w:r>
            <w:r w:rsidR="00120C50">
              <w:t>.</w:t>
            </w:r>
          </w:p>
          <w:p w14:paraId="03ECC5AE" w14:textId="70C93888" w:rsidR="004F7D9D" w:rsidRDefault="004F7D9D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The wider Access SCR Decision means that it is more likely that a Non-Curtailable Connection is desir</w:t>
            </w:r>
            <w:r w:rsidR="00B27CB6">
              <w:t>able (but it is understood that offers have been made (and accepted) for an enduring Curtailable Connection</w:t>
            </w:r>
            <w:r w:rsidR="00120C50">
              <w:t>.</w:t>
            </w:r>
          </w:p>
        </w:tc>
      </w:tr>
      <w:tr w:rsidR="00E76465" w14:paraId="2B83FB2D" w14:textId="77777777" w:rsidTr="00531EE5">
        <w:tc>
          <w:tcPr>
            <w:tcW w:w="2405" w:type="dxa"/>
          </w:tcPr>
          <w:p w14:paraId="19011534" w14:textId="078B29CB" w:rsidR="00E76465" w:rsidRDefault="00401910" w:rsidP="0054630F">
            <w:pPr>
              <w:pStyle w:val="ListParagraph"/>
              <w:numPr>
                <w:ilvl w:val="0"/>
                <w:numId w:val="2"/>
              </w:numPr>
              <w:ind w:left="309"/>
            </w:pPr>
            <w:r>
              <w:t>E</w:t>
            </w:r>
            <w:r w:rsidR="00120849">
              <w:t>nduring Curtailable Connection a</w:t>
            </w:r>
            <w:r>
              <w:t>t</w:t>
            </w:r>
            <w:r w:rsidR="00120849">
              <w:t xml:space="preserve"> DNO/IDNO Party </w:t>
            </w:r>
            <w:r w:rsidR="00120849" w:rsidRPr="00401910">
              <w:rPr>
                <w:b/>
                <w:bCs/>
              </w:rPr>
              <w:t>discretion</w:t>
            </w:r>
          </w:p>
        </w:tc>
        <w:tc>
          <w:tcPr>
            <w:tcW w:w="4025" w:type="dxa"/>
          </w:tcPr>
          <w:p w14:paraId="23A46483" w14:textId="77777777" w:rsidR="009A0B8C" w:rsidRDefault="00844B4E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Retains Customer protections</w:t>
            </w:r>
            <w:r w:rsidR="005947C1">
              <w:t>, albeit applied at DNO/IDNO Party discretion</w:t>
            </w:r>
            <w:r w:rsidR="00EE2A2A">
              <w:t>.</w:t>
            </w:r>
          </w:p>
          <w:p w14:paraId="6DB09F8C" w14:textId="77777777" w:rsidR="005947C1" w:rsidRDefault="00BB3637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Potential for discretion to only apply</w:t>
            </w:r>
            <w:r w:rsidR="00FB23D7">
              <w:t xml:space="preserve"> if proportionality becomes primary concern.</w:t>
            </w:r>
          </w:p>
          <w:p w14:paraId="59973445" w14:textId="6AF35133" w:rsidR="005A4407" w:rsidRDefault="009E1B69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Could </w:t>
            </w:r>
            <w:r w:rsidR="007B5382">
              <w:t>focus on main driver</w:t>
            </w:r>
            <w:r>
              <w:t xml:space="preserve"> of issues e.g. if</w:t>
            </w:r>
            <w:r w:rsidR="00E223C9">
              <w:t xml:space="preserve"> managing import curtailment is more likely to lead to ‘</w:t>
            </w:r>
            <w:proofErr w:type="gramStart"/>
            <w:r w:rsidR="00E223C9">
              <w:t>free-riding</w:t>
            </w:r>
            <w:proofErr w:type="gramEnd"/>
            <w:r w:rsidR="00E223C9">
              <w:t xml:space="preserve">’, it could be offered to </w:t>
            </w:r>
            <w:r w:rsidR="00FB78CC">
              <w:t>manage export curtailment only.</w:t>
            </w:r>
          </w:p>
        </w:tc>
        <w:tc>
          <w:tcPr>
            <w:tcW w:w="4026" w:type="dxa"/>
          </w:tcPr>
          <w:p w14:paraId="2EE6AFB1" w14:textId="77777777" w:rsidR="009A0B8C" w:rsidRDefault="009A0B8C" w:rsidP="009A0B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Promotes inconsistency in application and benefit realisation.</w:t>
            </w:r>
          </w:p>
          <w:p w14:paraId="5EAC03D1" w14:textId="02F4E250" w:rsidR="005218CB" w:rsidRDefault="005218CB" w:rsidP="009A0B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Could drive inconsistencies between types of connection and/or across networks.</w:t>
            </w:r>
          </w:p>
          <w:p w14:paraId="525B76A1" w14:textId="77777777" w:rsidR="00E76465" w:rsidRDefault="009A0B8C" w:rsidP="009A0B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Lacks transparency</w:t>
            </w:r>
            <w:r w:rsidR="00944C44">
              <w:t xml:space="preserve"> unless it when and if an enduring Curtailable Connection will be offered</w:t>
            </w:r>
            <w:r w:rsidR="00844B4E">
              <w:t xml:space="preserve"> by each DNO/IDNO Party</w:t>
            </w:r>
            <w:r w:rsidR="00944C44">
              <w:t>.</w:t>
            </w:r>
          </w:p>
          <w:p w14:paraId="18BD26BE" w14:textId="5B617F0A" w:rsidR="00730C4D" w:rsidRDefault="00730C4D" w:rsidP="009A0B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Does not address the </w:t>
            </w:r>
            <w:proofErr w:type="gramStart"/>
            <w:r>
              <w:t>principle</w:t>
            </w:r>
            <w:proofErr w:type="gramEnd"/>
            <w:r>
              <w:t xml:space="preserve"> issues.</w:t>
            </w:r>
          </w:p>
        </w:tc>
      </w:tr>
      <w:tr w:rsidR="00E76465" w14:paraId="052E25A9" w14:textId="77777777" w:rsidTr="00531EE5">
        <w:tc>
          <w:tcPr>
            <w:tcW w:w="2405" w:type="dxa"/>
          </w:tcPr>
          <w:p w14:paraId="310A9D21" w14:textId="1BC293CA" w:rsidR="00E76465" w:rsidRDefault="00120849" w:rsidP="0054630F">
            <w:pPr>
              <w:pStyle w:val="ListParagraph"/>
              <w:numPr>
                <w:ilvl w:val="0"/>
                <w:numId w:val="2"/>
              </w:numPr>
              <w:ind w:left="309"/>
            </w:pPr>
            <w:r w:rsidRPr="00401910">
              <w:rPr>
                <w:b/>
                <w:bCs/>
              </w:rPr>
              <w:t>Time-limited</w:t>
            </w:r>
            <w:r>
              <w:t xml:space="preserve"> enduring Curtailable Connection</w:t>
            </w:r>
            <w:r w:rsidR="00D5749A">
              <w:t xml:space="preserve"> (converts to a Flexible Connection)</w:t>
            </w:r>
          </w:p>
        </w:tc>
        <w:tc>
          <w:tcPr>
            <w:tcW w:w="4025" w:type="dxa"/>
          </w:tcPr>
          <w:p w14:paraId="08E52B76" w14:textId="77777777" w:rsidR="00E76465" w:rsidRDefault="00730C4D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Retains Customer protections for a</w:t>
            </w:r>
            <w:r w:rsidR="008803AB">
              <w:t xml:space="preserve"> prescribed </w:t>
            </w:r>
            <w:proofErr w:type="gramStart"/>
            <w:r w:rsidR="008803AB">
              <w:t>period of time</w:t>
            </w:r>
            <w:proofErr w:type="gramEnd"/>
            <w:r w:rsidR="008803AB">
              <w:t>.</w:t>
            </w:r>
          </w:p>
          <w:p w14:paraId="1C53E036" w14:textId="77777777" w:rsidR="00B145E6" w:rsidRDefault="00B145E6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Simple (not as simple as option 1).</w:t>
            </w:r>
          </w:p>
          <w:p w14:paraId="7F3ABEB8" w14:textId="00735CC7" w:rsidR="00B145E6" w:rsidRDefault="00B145E6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Addresses the issues identified by DCP 4</w:t>
            </w:r>
            <w:r w:rsidR="00A300DC">
              <w:t>4</w:t>
            </w:r>
            <w:r>
              <w:t>2</w:t>
            </w:r>
            <w:r w:rsidR="00B230BC">
              <w:t xml:space="preserve"> to a certain point in time</w:t>
            </w:r>
            <w:r w:rsidR="008D09D1">
              <w:t>.</w:t>
            </w:r>
          </w:p>
        </w:tc>
        <w:tc>
          <w:tcPr>
            <w:tcW w:w="4026" w:type="dxa"/>
          </w:tcPr>
          <w:p w14:paraId="07DD5E92" w14:textId="77777777" w:rsidR="00B3458C" w:rsidRDefault="008803AB" w:rsidP="00B345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Creates a new boundary</w:t>
            </w:r>
            <w:r w:rsidR="00B3458C">
              <w:t>.</w:t>
            </w:r>
          </w:p>
          <w:p w14:paraId="1ECE1C90" w14:textId="51CCB9B9" w:rsidR="00B3458C" w:rsidRDefault="00A65BC7" w:rsidP="00B345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Challenge to define w</w:t>
            </w:r>
            <w:r w:rsidR="00B3458C">
              <w:t>hat an appropriate time</w:t>
            </w:r>
            <w:r>
              <w:t xml:space="preserve"> is</w:t>
            </w:r>
            <w:r w:rsidR="00B3458C">
              <w:t>?</w:t>
            </w:r>
          </w:p>
          <w:p w14:paraId="0BB3A0D8" w14:textId="64BAEC4C" w:rsidR="00604C66" w:rsidRDefault="00105EAF" w:rsidP="00B3458C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Does not </w:t>
            </w:r>
            <w:proofErr w:type="gramStart"/>
            <w:r>
              <w:t>a</w:t>
            </w:r>
            <w:r w:rsidR="001B3CFE">
              <w:t>ddresses</w:t>
            </w:r>
            <w:proofErr w:type="gramEnd"/>
            <w:r w:rsidR="001B3CFE">
              <w:t xml:space="preserve"> the issues identified by DCP 4</w:t>
            </w:r>
            <w:r w:rsidR="00A300DC">
              <w:t>4</w:t>
            </w:r>
            <w:r w:rsidR="001B3CFE">
              <w:t xml:space="preserve">2 </w:t>
            </w:r>
            <w:r w:rsidR="00B230BC">
              <w:t>until a certain point in time</w:t>
            </w:r>
            <w:r w:rsidR="001B3CFE">
              <w:t>.</w:t>
            </w:r>
          </w:p>
        </w:tc>
      </w:tr>
      <w:tr w:rsidR="00CA1FA8" w14:paraId="321B24BB" w14:textId="77777777" w:rsidTr="00531EE5">
        <w:tc>
          <w:tcPr>
            <w:tcW w:w="2405" w:type="dxa"/>
          </w:tcPr>
          <w:p w14:paraId="20CACC43" w14:textId="3A01AAFF" w:rsidR="00CA1FA8" w:rsidRDefault="006E783D" w:rsidP="0054630F">
            <w:pPr>
              <w:pStyle w:val="ListParagraph"/>
              <w:numPr>
                <w:ilvl w:val="0"/>
                <w:numId w:val="2"/>
              </w:numPr>
              <w:ind w:left="309"/>
            </w:pPr>
            <w:r w:rsidRPr="008434E6">
              <w:rPr>
                <w:b/>
                <w:bCs/>
              </w:rPr>
              <w:t>Curtailment Limit</w:t>
            </w:r>
            <w:r w:rsidR="00CE5FAC">
              <w:rPr>
                <w:b/>
                <w:bCs/>
              </w:rPr>
              <w:t>(s)</w:t>
            </w:r>
            <w:r w:rsidR="008434E6" w:rsidRPr="008434E6">
              <w:rPr>
                <w:b/>
                <w:bCs/>
              </w:rPr>
              <w:t xml:space="preserve"> refreshed </w:t>
            </w:r>
            <w:r w:rsidR="00A353B2">
              <w:rPr>
                <w:b/>
                <w:bCs/>
              </w:rPr>
              <w:t>periodically</w:t>
            </w:r>
            <w:r w:rsidR="00A353B2">
              <w:t xml:space="preserve"> </w:t>
            </w:r>
            <w:r w:rsidR="008434E6">
              <w:t>by DNO/IDNO Party</w:t>
            </w:r>
          </w:p>
        </w:tc>
        <w:tc>
          <w:tcPr>
            <w:tcW w:w="4025" w:type="dxa"/>
          </w:tcPr>
          <w:p w14:paraId="407EAE33" w14:textId="77777777" w:rsidR="00F918B4" w:rsidRDefault="00121F9B" w:rsidP="00FD491F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Retains Customer protections</w:t>
            </w:r>
            <w:r w:rsidR="00F918B4">
              <w:t>.</w:t>
            </w:r>
          </w:p>
          <w:p w14:paraId="47D39045" w14:textId="77777777" w:rsidR="00FD491F" w:rsidRDefault="00F918B4" w:rsidP="00FD491F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Ensures the Curtailment Limit(s) continue to </w:t>
            </w:r>
            <w:r w:rsidR="00121F9B">
              <w:t>reflect network conditions as they evolve.</w:t>
            </w:r>
          </w:p>
          <w:p w14:paraId="1F0AEBCD" w14:textId="1045EFFE" w:rsidR="00F918B4" w:rsidRDefault="00F918B4" w:rsidP="00B44DF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Simple (not as simple as option 1</w:t>
            </w:r>
            <w:r w:rsidR="00B44DF8">
              <w:t xml:space="preserve"> – or likely option 3 either).</w:t>
            </w:r>
          </w:p>
        </w:tc>
        <w:tc>
          <w:tcPr>
            <w:tcW w:w="4026" w:type="dxa"/>
          </w:tcPr>
          <w:p w14:paraId="18C23799" w14:textId="03A1932D" w:rsidR="00CA1FA8" w:rsidRDefault="007D169A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Mostly fails to deliver all benefits of option 1: a</w:t>
            </w:r>
            <w:r w:rsidR="00460CDE">
              <w:t xml:space="preserve">ddresses only </w:t>
            </w:r>
            <w:r w:rsidR="00B014CD">
              <w:t>part of the impracticalit</w:t>
            </w:r>
            <w:r w:rsidR="005159E0">
              <w:t>y issues</w:t>
            </w:r>
            <w:r w:rsidR="00B014CD">
              <w:t>.</w:t>
            </w:r>
          </w:p>
          <w:p w14:paraId="239831E3" w14:textId="77777777" w:rsidR="00CE5FAC" w:rsidRDefault="00CE5FAC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 xml:space="preserve">Customer may </w:t>
            </w:r>
            <w:r w:rsidR="00756311">
              <w:t>object to</w:t>
            </w:r>
            <w:r>
              <w:t xml:space="preserve"> the revised Curtailment Limit(s)</w:t>
            </w:r>
            <w:r w:rsidR="00756311">
              <w:t>.</w:t>
            </w:r>
          </w:p>
          <w:p w14:paraId="630AE52E" w14:textId="410F2A12" w:rsidR="00A353B2" w:rsidRDefault="00A353B2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How often i</w:t>
            </w:r>
            <w:r w:rsidR="00326454">
              <w:t>s appropriate for a refresh?</w:t>
            </w:r>
          </w:p>
          <w:p w14:paraId="0104D990" w14:textId="7388FC19" w:rsidR="00756311" w:rsidRDefault="00756311" w:rsidP="003E0498">
            <w:pPr>
              <w:pStyle w:val="ListParagraph"/>
              <w:numPr>
                <w:ilvl w:val="0"/>
                <w:numId w:val="1"/>
              </w:numPr>
              <w:ind w:left="325"/>
            </w:pPr>
            <w:r>
              <w:t>Customer may</w:t>
            </w:r>
            <w:r w:rsidR="00A00472">
              <w:t xml:space="preserve"> have made a different decision</w:t>
            </w:r>
            <w:r w:rsidR="00121F9B">
              <w:t xml:space="preserve"> to convert to a Non-Curtailable Connection based on a different Curtailment Limit</w:t>
            </w:r>
            <w:r w:rsidR="00F918B4">
              <w:t>, which may not be predictable (lacks transparency)</w:t>
            </w:r>
            <w:r w:rsidR="00121F9B">
              <w:t>.</w:t>
            </w:r>
          </w:p>
        </w:tc>
      </w:tr>
      <w:tr w:rsidR="00EB4096" w14:paraId="111F33F9" w14:textId="77777777" w:rsidTr="00531EE5">
        <w:tc>
          <w:tcPr>
            <w:tcW w:w="2405" w:type="dxa"/>
          </w:tcPr>
          <w:p w14:paraId="59A6ABBB" w14:textId="1EEB2930" w:rsidR="00EB4096" w:rsidRPr="00EB4096" w:rsidRDefault="00EB4096" w:rsidP="00EB4096">
            <w:pPr>
              <w:pStyle w:val="ListParagraph"/>
              <w:numPr>
                <w:ilvl w:val="0"/>
                <w:numId w:val="2"/>
              </w:numPr>
              <w:ind w:left="309"/>
              <w:rPr>
                <w:b/>
                <w:bCs/>
              </w:rPr>
            </w:pPr>
            <w:r w:rsidRPr="00EB4096">
              <w:rPr>
                <w:rFonts w:eastAsia="Times New Roman"/>
              </w:rPr>
              <w:t xml:space="preserve">Enduring Curtailable Connection with </w:t>
            </w:r>
            <w:r w:rsidRPr="00EB4096">
              <w:rPr>
                <w:rFonts w:eastAsia="Times New Roman"/>
                <w:b/>
                <w:bCs/>
              </w:rPr>
              <w:t>no Exceeded Curtailment Payment.</w:t>
            </w:r>
          </w:p>
        </w:tc>
        <w:tc>
          <w:tcPr>
            <w:tcW w:w="4025" w:type="dxa"/>
          </w:tcPr>
          <w:p w14:paraId="3E97C63E" w14:textId="77777777" w:rsidR="00EB4096" w:rsidRPr="00EB4096" w:rsidRDefault="00EB4096" w:rsidP="00EB4096">
            <w:pPr>
              <w:pStyle w:val="ListParagraph"/>
              <w:numPr>
                <w:ilvl w:val="0"/>
                <w:numId w:val="1"/>
              </w:numPr>
              <w:ind w:left="325"/>
            </w:pPr>
            <w:r w:rsidRPr="00EB4096">
              <w:t>Halfway house – delivers some benefits, but as a Flexible Connection with ‘loose’ Customer protections.</w:t>
            </w:r>
          </w:p>
          <w:p w14:paraId="5F9D0E04" w14:textId="77777777" w:rsidR="00EB4096" w:rsidRPr="00EB4096" w:rsidRDefault="00EB4096" w:rsidP="00EB4096">
            <w:pPr>
              <w:pStyle w:val="ListParagraph"/>
              <w:numPr>
                <w:ilvl w:val="0"/>
                <w:numId w:val="1"/>
              </w:numPr>
              <w:ind w:left="325"/>
            </w:pPr>
            <w:r w:rsidRPr="00EB4096">
              <w:t xml:space="preserve">Creates a financial incentive to convert to a Non-Curtailable </w:t>
            </w:r>
            <w:r w:rsidRPr="00EB4096">
              <w:lastRenderedPageBreak/>
              <w:t>Connection (in that it would not exist past the Curtailment End Date).</w:t>
            </w:r>
          </w:p>
          <w:p w14:paraId="272F92F6" w14:textId="77777777" w:rsidR="00EB4096" w:rsidRPr="00EB4096" w:rsidRDefault="00EB4096" w:rsidP="00EB4096">
            <w:pPr>
              <w:pStyle w:val="ListParagraph"/>
              <w:numPr>
                <w:ilvl w:val="0"/>
                <w:numId w:val="1"/>
              </w:numPr>
              <w:ind w:left="325"/>
            </w:pPr>
            <w:r w:rsidRPr="00EB4096">
              <w:t>Simple.</w:t>
            </w:r>
          </w:p>
          <w:p w14:paraId="6A1714F3" w14:textId="6725A33C" w:rsidR="00EB4096" w:rsidRPr="00EB4096" w:rsidRDefault="00EB4096" w:rsidP="00EB4096">
            <w:pPr>
              <w:pStyle w:val="ListParagraph"/>
              <w:numPr>
                <w:ilvl w:val="0"/>
                <w:numId w:val="1"/>
              </w:numPr>
              <w:ind w:left="325"/>
              <w:rPr>
                <w:rFonts w:eastAsia="Times New Roman"/>
                <w:sz w:val="24"/>
                <w:szCs w:val="24"/>
              </w:rPr>
            </w:pPr>
            <w:r w:rsidRPr="00EB4096">
              <w:t>Transparent.</w:t>
            </w:r>
          </w:p>
        </w:tc>
        <w:tc>
          <w:tcPr>
            <w:tcW w:w="4026" w:type="dxa"/>
          </w:tcPr>
          <w:p w14:paraId="29F413A8" w14:textId="77777777" w:rsidR="00EB4096" w:rsidRPr="00EB4096" w:rsidRDefault="00EB4096" w:rsidP="00EB4096">
            <w:pPr>
              <w:pStyle w:val="ListParagraph"/>
              <w:numPr>
                <w:ilvl w:val="0"/>
                <w:numId w:val="1"/>
              </w:numPr>
              <w:ind w:left="325"/>
            </w:pPr>
            <w:r w:rsidRPr="00EB4096">
              <w:lastRenderedPageBreak/>
              <w:t>Halfway house – does not address impracticalities nor all ‘fairness’ issues.</w:t>
            </w:r>
          </w:p>
          <w:p w14:paraId="128B9D53" w14:textId="13A2EC3A" w:rsidR="00EB4096" w:rsidRDefault="00EB4096" w:rsidP="00EB4096">
            <w:pPr>
              <w:pStyle w:val="ListParagraph"/>
              <w:numPr>
                <w:ilvl w:val="0"/>
                <w:numId w:val="1"/>
              </w:numPr>
              <w:ind w:left="325"/>
            </w:pPr>
            <w:r w:rsidRPr="00EB4096">
              <w:t xml:space="preserve">A Curtailment Limit with no annual payment for exceedance is, for all intents and purposes, a Flexible </w:t>
            </w:r>
            <w:r w:rsidRPr="00EB4096">
              <w:lastRenderedPageBreak/>
              <w:t>Connection with routine reporting obligations. It further blurs lines.</w:t>
            </w:r>
          </w:p>
        </w:tc>
      </w:tr>
    </w:tbl>
    <w:p w14:paraId="2EF2E780" w14:textId="6D09C9EE" w:rsidR="00E87FDC" w:rsidRPr="00E872E8" w:rsidRDefault="007C4F38" w:rsidP="007C4F38">
      <w:r>
        <w:lastRenderedPageBreak/>
        <w:br w:type="page"/>
      </w:r>
    </w:p>
    <w:sectPr w:rsidR="00E87FDC" w:rsidRPr="00E872E8" w:rsidSect="007001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7A3BD" w14:textId="77777777" w:rsidR="0063143B" w:rsidRDefault="0063143B" w:rsidP="00442112">
      <w:pPr>
        <w:spacing w:after="0" w:line="240" w:lineRule="auto"/>
      </w:pPr>
      <w:r>
        <w:separator/>
      </w:r>
    </w:p>
  </w:endnote>
  <w:endnote w:type="continuationSeparator" w:id="0">
    <w:p w14:paraId="717F9084" w14:textId="77777777" w:rsidR="0063143B" w:rsidRDefault="0063143B" w:rsidP="00442112">
      <w:pPr>
        <w:spacing w:after="0" w:line="240" w:lineRule="auto"/>
      </w:pPr>
      <w:r>
        <w:continuationSeparator/>
      </w:r>
    </w:p>
  </w:endnote>
  <w:endnote w:id="1">
    <w:p w14:paraId="1C81F62F" w14:textId="7946E78B" w:rsidR="00D63BB0" w:rsidRPr="00D166B4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See differences between a Curtailable Connection and Flexible Connection in paragraph 1.2 for more information.</w:t>
      </w:r>
    </w:p>
  </w:endnote>
  <w:endnote w:id="2">
    <w:p w14:paraId="79B7E681" w14:textId="306FE511" w:rsidR="00D63BB0" w:rsidRPr="00D166B4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Delivering Net Zero will likely require every tool in the toolbox, including flexibility, but it will undoubtedly require ‘more’/’bigger’ network to deliver additional capacity. A Curtailable Connection is more likely to be in a part of network where it is more efficient for Reinforcement – to deliver wider societal benefits – than a Flexible Connection. A Curtailable Connection is unlikely to be the network ‘solution’ here; it is primarily intended to connect a </w:t>
      </w:r>
      <w:r w:rsidRPr="00D166B4">
        <w:t>Customer quicker rather than duplicate/replace a DNO/IDNO Party investing in the network/procuring market services.</w:t>
      </w:r>
    </w:p>
  </w:endnote>
  <w:endnote w:id="3">
    <w:p w14:paraId="5EEC4A13" w14:textId="4FACBB00" w:rsidR="00D63BB0" w:rsidRPr="00D166B4" w:rsidRDefault="00D63BB0" w:rsidP="001C5374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A Flexible Connection is often in lieu of Reinforcement, where it is more practical for the economic development of the network.</w:t>
      </w:r>
    </w:p>
  </w:endnote>
  <w:endnote w:id="4">
    <w:p w14:paraId="1F41BE77" w14:textId="29C6B2DD" w:rsidR="00D63BB0" w:rsidRPr="00D166B4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See practicality considerations in paragraph 1.9 for more information.</w:t>
      </w:r>
    </w:p>
  </w:endnote>
  <w:endnote w:id="5">
    <w:p w14:paraId="76C68345" w14:textId="19D352E2" w:rsidR="00FA1EBD" w:rsidRDefault="00FA1EB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063BF">
        <w:t>A DNO Party has specified unit costs for deferring Reinforcement</w:t>
      </w:r>
      <w:r w:rsidR="00255FC9">
        <w:t>. Markets may be influenced by the Exceeded Curtailment Price</w:t>
      </w:r>
      <w:r w:rsidR="00872E53">
        <w:t xml:space="preserve"> e.g. it may be questioned why a service provider may accept less than would be paid to the Customer of a Curtailable Connection.</w:t>
      </w:r>
      <w:r w:rsidR="00362798">
        <w:t xml:space="preserve"> </w:t>
      </w:r>
    </w:p>
  </w:endnote>
  <w:endnote w:id="6">
    <w:p w14:paraId="23BCF4FF" w14:textId="0299B922" w:rsidR="00D63BB0" w:rsidRPr="00690020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See </w:t>
      </w:r>
      <w:r w:rsidR="00AD56DD">
        <w:t>‘</w:t>
      </w:r>
      <w:r w:rsidRPr="00D166B4">
        <w:t>fairness</w:t>
      </w:r>
      <w:r w:rsidR="00AD56DD">
        <w:t>’</w:t>
      </w:r>
      <w:r w:rsidRPr="00D166B4">
        <w:t xml:space="preserve"> considerations in paragraph 1.10 for more information.</w:t>
      </w:r>
    </w:p>
  </w:endnote>
  <w:endnote w:id="7">
    <w:p w14:paraId="63DB08F3" w14:textId="471BF8D6" w:rsidR="00AD56DD" w:rsidRDefault="00AD56D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DD51AB">
        <w:t>Reinforcement costs are generally fully socialised</w:t>
      </w:r>
      <w:r w:rsidR="00762269">
        <w:t xml:space="preserve">, and costs associated with exceedance of the Curtailment Limit(s) would also be </w:t>
      </w:r>
      <w:r w:rsidR="00176B89">
        <w:t>likely shared with the wider customer-base.</w:t>
      </w:r>
    </w:p>
  </w:endnote>
  <w:endnote w:id="8">
    <w:p w14:paraId="1C0CA191" w14:textId="5E3C2F30" w:rsidR="00D63BB0" w:rsidRPr="00690020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The Access SCR Decision was implemented from 1 April </w:t>
      </w:r>
      <w:r w:rsidRPr="00D166B4">
        <w:t>2023, therefore the number of Curtailable Connections is relatively low. However, volumes will likely increase over time e.g. if offered routinely at a Point of Connection on lower network voltages.</w:t>
      </w:r>
    </w:p>
  </w:endnote>
  <w:endnote w:id="9">
    <w:p w14:paraId="78917028" w14:textId="2A482CE9" w:rsidR="00D63BB0" w:rsidRPr="00690020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If the Curtailment Limit is exceeded, the DNO/IDNO Party is required to pay the Customer based on the Exceeded Curtailment Price.</w:t>
      </w:r>
    </w:p>
  </w:endnote>
  <w:endnote w:id="10">
    <w:p w14:paraId="0053CA25" w14:textId="28A1F9FC" w:rsidR="00D63BB0" w:rsidRPr="00D166B4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However, the Curtailable Connection ‘protections’ do not prevent unlimited constraints enforced by the DNO/IDNO Party. Whilst the DNO/IDNO Party may be liable to pay the Customer, not all curtailment counts toward the Curtailment Limit being breached. </w:t>
      </w:r>
    </w:p>
  </w:endnote>
  <w:endnote w:id="11">
    <w:p w14:paraId="4D137748" w14:textId="20FEAF79" w:rsidR="00D63BB0" w:rsidRPr="00D166B4" w:rsidRDefault="00D63BB0">
      <w:pPr>
        <w:pStyle w:val="EndnoteText"/>
      </w:pPr>
      <w:r w:rsidRPr="00D166B4">
        <w:rPr>
          <w:rStyle w:val="EndnoteReference"/>
        </w:rPr>
        <w:endnoteRef/>
      </w:r>
      <w:r w:rsidRPr="00D166B4">
        <w:t xml:space="preserve"> However, reporting obligations are triggered where there is </w:t>
      </w:r>
      <w:r w:rsidRPr="00D166B4">
        <w:rPr>
          <w:i/>
          <w:iCs/>
        </w:rPr>
        <w:t>any</w:t>
      </w:r>
      <w:r w:rsidRPr="00D166B4">
        <w:t xml:space="preserve"> Curtailment, and network ‘headroom’ is likely to reduce over time.</w:t>
      </w:r>
    </w:p>
  </w:endnote>
  <w:endnote w:id="12">
    <w:p w14:paraId="04444FC1" w14:textId="2EEA4BAA" w:rsidR="00D63BB0" w:rsidRPr="00690020" w:rsidRDefault="00D63BB0">
      <w:pPr>
        <w:pStyle w:val="EndnoteText"/>
      </w:pPr>
      <w:r w:rsidRPr="00690020">
        <w:rPr>
          <w:rStyle w:val="EndnoteReference"/>
        </w:rPr>
        <w:endnoteRef/>
      </w:r>
      <w:r w:rsidRPr="00690020">
        <w:t xml:space="preserve"> A forecast of curtailment/Curtailment that can be provided regardless of a Curtailable Connection would therefore be more or as accurate as the Curtailment Limit (but a code modification would be </w:t>
      </w:r>
      <w:r w:rsidRPr="00690020">
        <w:t>required, and may compromise consistency in application).</w:t>
      </w:r>
    </w:p>
  </w:endnote>
  <w:endnote w:id="13">
    <w:p w14:paraId="352DBE78" w14:textId="40BCDFA0" w:rsidR="00690020" w:rsidRDefault="00690020">
      <w:pPr>
        <w:pStyle w:val="EndnoteText"/>
      </w:pPr>
      <w:r w:rsidRPr="00690020">
        <w:rPr>
          <w:rStyle w:val="EndnoteReference"/>
        </w:rPr>
        <w:endnoteRef/>
      </w:r>
      <w:r w:rsidRPr="00690020">
        <w:t xml:space="preserve"> However, the Customer would benefit from investment which it may have intentionally avoid contributing to, and the DNO/IDNO Party would retain liabilities for future payment together with all reporting obligations.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3DEAB" w14:textId="77777777" w:rsidR="0063143B" w:rsidRDefault="0063143B" w:rsidP="00442112">
      <w:pPr>
        <w:spacing w:after="0" w:line="240" w:lineRule="auto"/>
      </w:pPr>
      <w:r>
        <w:separator/>
      </w:r>
    </w:p>
  </w:footnote>
  <w:footnote w:type="continuationSeparator" w:id="0">
    <w:p w14:paraId="0C79E286" w14:textId="77777777" w:rsidR="0063143B" w:rsidRDefault="0063143B" w:rsidP="00442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52268"/>
    <w:multiLevelType w:val="hybridMultilevel"/>
    <w:tmpl w:val="699863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449"/>
    <w:multiLevelType w:val="hybridMultilevel"/>
    <w:tmpl w:val="AB22B4CE"/>
    <w:lvl w:ilvl="0" w:tplc="BFD8314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C531D"/>
    <w:multiLevelType w:val="hybridMultilevel"/>
    <w:tmpl w:val="6944B90E"/>
    <w:lvl w:ilvl="0" w:tplc="036468FE">
      <w:start w:val="1"/>
      <w:numFmt w:val="decimal"/>
      <w:lvlText w:val="%1."/>
      <w:lvlJc w:val="left"/>
      <w:pPr>
        <w:ind w:left="720" w:hanging="360"/>
      </w:pPr>
    </w:lvl>
    <w:lvl w:ilvl="1" w:tplc="5ADC3FA0">
      <w:start w:val="1"/>
      <w:numFmt w:val="decimal"/>
      <w:lvlText w:val="%2."/>
      <w:lvlJc w:val="left"/>
      <w:pPr>
        <w:ind w:left="720" w:hanging="360"/>
      </w:pPr>
    </w:lvl>
    <w:lvl w:ilvl="2" w:tplc="3E080D54">
      <w:start w:val="1"/>
      <w:numFmt w:val="decimal"/>
      <w:lvlText w:val="%3."/>
      <w:lvlJc w:val="left"/>
      <w:pPr>
        <w:ind w:left="720" w:hanging="360"/>
      </w:pPr>
    </w:lvl>
    <w:lvl w:ilvl="3" w:tplc="B1E8BCA6">
      <w:start w:val="1"/>
      <w:numFmt w:val="decimal"/>
      <w:lvlText w:val="%4."/>
      <w:lvlJc w:val="left"/>
      <w:pPr>
        <w:ind w:left="720" w:hanging="360"/>
      </w:pPr>
    </w:lvl>
    <w:lvl w:ilvl="4" w:tplc="D04A3924">
      <w:start w:val="1"/>
      <w:numFmt w:val="decimal"/>
      <w:lvlText w:val="%5."/>
      <w:lvlJc w:val="left"/>
      <w:pPr>
        <w:ind w:left="720" w:hanging="360"/>
      </w:pPr>
    </w:lvl>
    <w:lvl w:ilvl="5" w:tplc="6678A12C">
      <w:start w:val="1"/>
      <w:numFmt w:val="decimal"/>
      <w:lvlText w:val="%6."/>
      <w:lvlJc w:val="left"/>
      <w:pPr>
        <w:ind w:left="720" w:hanging="360"/>
      </w:pPr>
    </w:lvl>
    <w:lvl w:ilvl="6" w:tplc="86F4B000">
      <w:start w:val="1"/>
      <w:numFmt w:val="decimal"/>
      <w:lvlText w:val="%7."/>
      <w:lvlJc w:val="left"/>
      <w:pPr>
        <w:ind w:left="720" w:hanging="360"/>
      </w:pPr>
    </w:lvl>
    <w:lvl w:ilvl="7" w:tplc="8DDE0874">
      <w:start w:val="1"/>
      <w:numFmt w:val="decimal"/>
      <w:lvlText w:val="%8."/>
      <w:lvlJc w:val="left"/>
      <w:pPr>
        <w:ind w:left="720" w:hanging="360"/>
      </w:pPr>
    </w:lvl>
    <w:lvl w:ilvl="8" w:tplc="8CB6BF18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29CD52C0"/>
    <w:multiLevelType w:val="hybridMultilevel"/>
    <w:tmpl w:val="3028D72C"/>
    <w:lvl w:ilvl="0" w:tplc="E8E42956">
      <w:start w:val="4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D312E"/>
    <w:multiLevelType w:val="hybridMultilevel"/>
    <w:tmpl w:val="A34409AC"/>
    <w:lvl w:ilvl="0" w:tplc="9C68C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B1236"/>
      </w:rPr>
    </w:lvl>
    <w:lvl w:ilvl="1" w:tplc="45983AD6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  <w:b w:val="0"/>
        <w:bCs w:val="0"/>
        <w:color w:val="AB123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205256">
    <w:abstractNumId w:val="4"/>
  </w:num>
  <w:num w:numId="2" w16cid:durableId="563879380">
    <w:abstractNumId w:val="1"/>
  </w:num>
  <w:num w:numId="3" w16cid:durableId="328139530">
    <w:abstractNumId w:val="0"/>
  </w:num>
  <w:num w:numId="4" w16cid:durableId="1373576943">
    <w:abstractNumId w:val="2"/>
  </w:num>
  <w:num w:numId="5" w16cid:durableId="1657494720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49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9E4"/>
    <w:rsid w:val="00012883"/>
    <w:rsid w:val="00012EB1"/>
    <w:rsid w:val="00021C5A"/>
    <w:rsid w:val="00032000"/>
    <w:rsid w:val="00034002"/>
    <w:rsid w:val="00037192"/>
    <w:rsid w:val="00045209"/>
    <w:rsid w:val="000523AF"/>
    <w:rsid w:val="000621E1"/>
    <w:rsid w:val="000622C4"/>
    <w:rsid w:val="0006319B"/>
    <w:rsid w:val="00065E88"/>
    <w:rsid w:val="000701D4"/>
    <w:rsid w:val="0008565D"/>
    <w:rsid w:val="00087982"/>
    <w:rsid w:val="0009238A"/>
    <w:rsid w:val="00096C43"/>
    <w:rsid w:val="000A2E62"/>
    <w:rsid w:val="000B598C"/>
    <w:rsid w:val="000C4798"/>
    <w:rsid w:val="000D5678"/>
    <w:rsid w:val="000F52ED"/>
    <w:rsid w:val="00105EAF"/>
    <w:rsid w:val="00107608"/>
    <w:rsid w:val="001121B0"/>
    <w:rsid w:val="00112CA0"/>
    <w:rsid w:val="00120849"/>
    <w:rsid w:val="00120C50"/>
    <w:rsid w:val="00121F9B"/>
    <w:rsid w:val="00131357"/>
    <w:rsid w:val="00133A03"/>
    <w:rsid w:val="00141B62"/>
    <w:rsid w:val="0014277B"/>
    <w:rsid w:val="0015087E"/>
    <w:rsid w:val="00157685"/>
    <w:rsid w:val="00164122"/>
    <w:rsid w:val="00174DA9"/>
    <w:rsid w:val="00176B89"/>
    <w:rsid w:val="00186670"/>
    <w:rsid w:val="0018685E"/>
    <w:rsid w:val="0019119C"/>
    <w:rsid w:val="001A2552"/>
    <w:rsid w:val="001B3CFE"/>
    <w:rsid w:val="001B4DA2"/>
    <w:rsid w:val="001C5374"/>
    <w:rsid w:val="001C7342"/>
    <w:rsid w:val="001E0FA8"/>
    <w:rsid w:val="001F5176"/>
    <w:rsid w:val="002102ED"/>
    <w:rsid w:val="002146CC"/>
    <w:rsid w:val="00215008"/>
    <w:rsid w:val="002161B4"/>
    <w:rsid w:val="002163FE"/>
    <w:rsid w:val="00216594"/>
    <w:rsid w:val="00231DF6"/>
    <w:rsid w:val="0023724E"/>
    <w:rsid w:val="00237E6B"/>
    <w:rsid w:val="00240E90"/>
    <w:rsid w:val="00243A77"/>
    <w:rsid w:val="002479A1"/>
    <w:rsid w:val="00255FC9"/>
    <w:rsid w:val="00266762"/>
    <w:rsid w:val="00270CC3"/>
    <w:rsid w:val="00272842"/>
    <w:rsid w:val="00277BF8"/>
    <w:rsid w:val="0028337C"/>
    <w:rsid w:val="0029636A"/>
    <w:rsid w:val="002965E5"/>
    <w:rsid w:val="002A3AF8"/>
    <w:rsid w:val="002A5D63"/>
    <w:rsid w:val="002A6B84"/>
    <w:rsid w:val="002A7802"/>
    <w:rsid w:val="002B7DEF"/>
    <w:rsid w:val="002C08C7"/>
    <w:rsid w:val="002C1D78"/>
    <w:rsid w:val="002C44AF"/>
    <w:rsid w:val="002E277E"/>
    <w:rsid w:val="002E6B50"/>
    <w:rsid w:val="002E7097"/>
    <w:rsid w:val="002F70E9"/>
    <w:rsid w:val="003019E7"/>
    <w:rsid w:val="00301EF0"/>
    <w:rsid w:val="00303128"/>
    <w:rsid w:val="00312CC4"/>
    <w:rsid w:val="00314273"/>
    <w:rsid w:val="00315B17"/>
    <w:rsid w:val="00322879"/>
    <w:rsid w:val="00326454"/>
    <w:rsid w:val="00342D01"/>
    <w:rsid w:val="00362798"/>
    <w:rsid w:val="003671B0"/>
    <w:rsid w:val="00373623"/>
    <w:rsid w:val="00373B2E"/>
    <w:rsid w:val="003769C5"/>
    <w:rsid w:val="003770F6"/>
    <w:rsid w:val="00383488"/>
    <w:rsid w:val="0038407E"/>
    <w:rsid w:val="0038455B"/>
    <w:rsid w:val="00384D21"/>
    <w:rsid w:val="00394EBC"/>
    <w:rsid w:val="003952AC"/>
    <w:rsid w:val="003A535A"/>
    <w:rsid w:val="003A54C5"/>
    <w:rsid w:val="003A7752"/>
    <w:rsid w:val="003B0FC5"/>
    <w:rsid w:val="003C3BBF"/>
    <w:rsid w:val="003D0732"/>
    <w:rsid w:val="003D4723"/>
    <w:rsid w:val="003E0498"/>
    <w:rsid w:val="003F3939"/>
    <w:rsid w:val="00401910"/>
    <w:rsid w:val="004037DD"/>
    <w:rsid w:val="004375FA"/>
    <w:rsid w:val="00442112"/>
    <w:rsid w:val="004526DA"/>
    <w:rsid w:val="0045779B"/>
    <w:rsid w:val="00460CDE"/>
    <w:rsid w:val="00485B97"/>
    <w:rsid w:val="004973B6"/>
    <w:rsid w:val="004B1874"/>
    <w:rsid w:val="004B70E2"/>
    <w:rsid w:val="004D51E1"/>
    <w:rsid w:val="004E01D0"/>
    <w:rsid w:val="004F0497"/>
    <w:rsid w:val="004F7D9D"/>
    <w:rsid w:val="00502B57"/>
    <w:rsid w:val="00503D64"/>
    <w:rsid w:val="00511E6A"/>
    <w:rsid w:val="005159E0"/>
    <w:rsid w:val="005218CB"/>
    <w:rsid w:val="005278C8"/>
    <w:rsid w:val="00533C0A"/>
    <w:rsid w:val="00534BCF"/>
    <w:rsid w:val="0054630F"/>
    <w:rsid w:val="00546E02"/>
    <w:rsid w:val="005522BA"/>
    <w:rsid w:val="00557297"/>
    <w:rsid w:val="0056640B"/>
    <w:rsid w:val="005904B3"/>
    <w:rsid w:val="0059095F"/>
    <w:rsid w:val="00594622"/>
    <w:rsid w:val="005947C1"/>
    <w:rsid w:val="00595DB8"/>
    <w:rsid w:val="005A1FE2"/>
    <w:rsid w:val="005A4407"/>
    <w:rsid w:val="005A52BE"/>
    <w:rsid w:val="005A58BD"/>
    <w:rsid w:val="005A6166"/>
    <w:rsid w:val="005B48D1"/>
    <w:rsid w:val="005D4345"/>
    <w:rsid w:val="005E3C6E"/>
    <w:rsid w:val="00604C66"/>
    <w:rsid w:val="00610378"/>
    <w:rsid w:val="0062324A"/>
    <w:rsid w:val="00623592"/>
    <w:rsid w:val="0062381E"/>
    <w:rsid w:val="006251F5"/>
    <w:rsid w:val="0063143B"/>
    <w:rsid w:val="00632EE4"/>
    <w:rsid w:val="006358EF"/>
    <w:rsid w:val="00644D78"/>
    <w:rsid w:val="00663BD0"/>
    <w:rsid w:val="00680808"/>
    <w:rsid w:val="006812CA"/>
    <w:rsid w:val="00690020"/>
    <w:rsid w:val="006901D2"/>
    <w:rsid w:val="00694FEE"/>
    <w:rsid w:val="00696BB3"/>
    <w:rsid w:val="006A1201"/>
    <w:rsid w:val="006A3E0B"/>
    <w:rsid w:val="006A3FC4"/>
    <w:rsid w:val="006B5238"/>
    <w:rsid w:val="006C05CC"/>
    <w:rsid w:val="006C0B5D"/>
    <w:rsid w:val="006C3270"/>
    <w:rsid w:val="006C5E77"/>
    <w:rsid w:val="006E4257"/>
    <w:rsid w:val="006E72F0"/>
    <w:rsid w:val="006E783D"/>
    <w:rsid w:val="0070011C"/>
    <w:rsid w:val="00703D23"/>
    <w:rsid w:val="00726D11"/>
    <w:rsid w:val="00730C4D"/>
    <w:rsid w:val="00731E37"/>
    <w:rsid w:val="007461F8"/>
    <w:rsid w:val="00756311"/>
    <w:rsid w:val="007603DE"/>
    <w:rsid w:val="00762269"/>
    <w:rsid w:val="0077136A"/>
    <w:rsid w:val="00774307"/>
    <w:rsid w:val="00782615"/>
    <w:rsid w:val="00796433"/>
    <w:rsid w:val="007A014A"/>
    <w:rsid w:val="007B147D"/>
    <w:rsid w:val="007B5382"/>
    <w:rsid w:val="007B6DC6"/>
    <w:rsid w:val="007C4F38"/>
    <w:rsid w:val="007D169A"/>
    <w:rsid w:val="007D2991"/>
    <w:rsid w:val="007D6FB3"/>
    <w:rsid w:val="007E0097"/>
    <w:rsid w:val="007E094E"/>
    <w:rsid w:val="007E7A30"/>
    <w:rsid w:val="00800E6E"/>
    <w:rsid w:val="008043E4"/>
    <w:rsid w:val="00806814"/>
    <w:rsid w:val="00813BA6"/>
    <w:rsid w:val="00825A3E"/>
    <w:rsid w:val="00831465"/>
    <w:rsid w:val="00832F37"/>
    <w:rsid w:val="00834CDC"/>
    <w:rsid w:val="008434E6"/>
    <w:rsid w:val="00844B4E"/>
    <w:rsid w:val="00867CAD"/>
    <w:rsid w:val="00872E53"/>
    <w:rsid w:val="00877666"/>
    <w:rsid w:val="008803AB"/>
    <w:rsid w:val="0089493D"/>
    <w:rsid w:val="008A11B5"/>
    <w:rsid w:val="008A2C66"/>
    <w:rsid w:val="008B7716"/>
    <w:rsid w:val="008C1881"/>
    <w:rsid w:val="008C2CAC"/>
    <w:rsid w:val="008C6A40"/>
    <w:rsid w:val="008D09D1"/>
    <w:rsid w:val="008D1AD7"/>
    <w:rsid w:val="009063BF"/>
    <w:rsid w:val="009068C4"/>
    <w:rsid w:val="00913FD8"/>
    <w:rsid w:val="00917BB4"/>
    <w:rsid w:val="00925CE9"/>
    <w:rsid w:val="00935368"/>
    <w:rsid w:val="0094122F"/>
    <w:rsid w:val="00942826"/>
    <w:rsid w:val="00944C44"/>
    <w:rsid w:val="00946814"/>
    <w:rsid w:val="00950673"/>
    <w:rsid w:val="009508FD"/>
    <w:rsid w:val="0097439E"/>
    <w:rsid w:val="00997686"/>
    <w:rsid w:val="009A03D7"/>
    <w:rsid w:val="009A0B8C"/>
    <w:rsid w:val="009A18C5"/>
    <w:rsid w:val="009B42EF"/>
    <w:rsid w:val="009B6744"/>
    <w:rsid w:val="009B77DC"/>
    <w:rsid w:val="009E1B69"/>
    <w:rsid w:val="009F344A"/>
    <w:rsid w:val="009F4687"/>
    <w:rsid w:val="00A00472"/>
    <w:rsid w:val="00A014B7"/>
    <w:rsid w:val="00A13193"/>
    <w:rsid w:val="00A1785B"/>
    <w:rsid w:val="00A2274C"/>
    <w:rsid w:val="00A2461D"/>
    <w:rsid w:val="00A25273"/>
    <w:rsid w:val="00A300DC"/>
    <w:rsid w:val="00A325B9"/>
    <w:rsid w:val="00A343A4"/>
    <w:rsid w:val="00A353B2"/>
    <w:rsid w:val="00A5048F"/>
    <w:rsid w:val="00A65BC7"/>
    <w:rsid w:val="00A734F7"/>
    <w:rsid w:val="00A8123D"/>
    <w:rsid w:val="00A90F0B"/>
    <w:rsid w:val="00A91123"/>
    <w:rsid w:val="00A957DB"/>
    <w:rsid w:val="00AC16F8"/>
    <w:rsid w:val="00AD088B"/>
    <w:rsid w:val="00AD56DD"/>
    <w:rsid w:val="00AE09D6"/>
    <w:rsid w:val="00AE1FB5"/>
    <w:rsid w:val="00AE5735"/>
    <w:rsid w:val="00AF2CFC"/>
    <w:rsid w:val="00B014CD"/>
    <w:rsid w:val="00B021D9"/>
    <w:rsid w:val="00B0502C"/>
    <w:rsid w:val="00B067DC"/>
    <w:rsid w:val="00B108FD"/>
    <w:rsid w:val="00B13A51"/>
    <w:rsid w:val="00B14308"/>
    <w:rsid w:val="00B145E6"/>
    <w:rsid w:val="00B1558C"/>
    <w:rsid w:val="00B20E97"/>
    <w:rsid w:val="00B230BC"/>
    <w:rsid w:val="00B245A3"/>
    <w:rsid w:val="00B25830"/>
    <w:rsid w:val="00B27CB6"/>
    <w:rsid w:val="00B3241A"/>
    <w:rsid w:val="00B3458C"/>
    <w:rsid w:val="00B35E67"/>
    <w:rsid w:val="00B44DF8"/>
    <w:rsid w:val="00B52CFD"/>
    <w:rsid w:val="00B90302"/>
    <w:rsid w:val="00BB3637"/>
    <w:rsid w:val="00BE5C14"/>
    <w:rsid w:val="00BF2A4C"/>
    <w:rsid w:val="00C03B69"/>
    <w:rsid w:val="00C10656"/>
    <w:rsid w:val="00C15291"/>
    <w:rsid w:val="00C25E8E"/>
    <w:rsid w:val="00C26646"/>
    <w:rsid w:val="00C361F9"/>
    <w:rsid w:val="00C42D13"/>
    <w:rsid w:val="00C4356A"/>
    <w:rsid w:val="00C537D4"/>
    <w:rsid w:val="00C73EE4"/>
    <w:rsid w:val="00CA1FA8"/>
    <w:rsid w:val="00CC1E42"/>
    <w:rsid w:val="00CD2BBB"/>
    <w:rsid w:val="00CE16E1"/>
    <w:rsid w:val="00CE5FAC"/>
    <w:rsid w:val="00CF3599"/>
    <w:rsid w:val="00D03B48"/>
    <w:rsid w:val="00D1665B"/>
    <w:rsid w:val="00D166B4"/>
    <w:rsid w:val="00D1698A"/>
    <w:rsid w:val="00D260E7"/>
    <w:rsid w:val="00D460B7"/>
    <w:rsid w:val="00D46570"/>
    <w:rsid w:val="00D5749A"/>
    <w:rsid w:val="00D63BB0"/>
    <w:rsid w:val="00D63F08"/>
    <w:rsid w:val="00D819B3"/>
    <w:rsid w:val="00D81A73"/>
    <w:rsid w:val="00DB0532"/>
    <w:rsid w:val="00DB0CED"/>
    <w:rsid w:val="00DB1320"/>
    <w:rsid w:val="00DC7C0A"/>
    <w:rsid w:val="00DD436C"/>
    <w:rsid w:val="00DD51AB"/>
    <w:rsid w:val="00DE0283"/>
    <w:rsid w:val="00DE5EFD"/>
    <w:rsid w:val="00DF2A1C"/>
    <w:rsid w:val="00DF314B"/>
    <w:rsid w:val="00E11E44"/>
    <w:rsid w:val="00E15FB7"/>
    <w:rsid w:val="00E223C9"/>
    <w:rsid w:val="00E306E8"/>
    <w:rsid w:val="00E459E4"/>
    <w:rsid w:val="00E53174"/>
    <w:rsid w:val="00E557E3"/>
    <w:rsid w:val="00E61B63"/>
    <w:rsid w:val="00E76465"/>
    <w:rsid w:val="00E81B78"/>
    <w:rsid w:val="00E872E8"/>
    <w:rsid w:val="00E87FDC"/>
    <w:rsid w:val="00E9254D"/>
    <w:rsid w:val="00EA0DC0"/>
    <w:rsid w:val="00EA2F4F"/>
    <w:rsid w:val="00EB0E6A"/>
    <w:rsid w:val="00EB10EE"/>
    <w:rsid w:val="00EB4096"/>
    <w:rsid w:val="00ED42C9"/>
    <w:rsid w:val="00EE2A2A"/>
    <w:rsid w:val="00F02B4E"/>
    <w:rsid w:val="00F03FA0"/>
    <w:rsid w:val="00F108E7"/>
    <w:rsid w:val="00F1340A"/>
    <w:rsid w:val="00F14EBA"/>
    <w:rsid w:val="00F3652C"/>
    <w:rsid w:val="00F37F1A"/>
    <w:rsid w:val="00F40860"/>
    <w:rsid w:val="00F46082"/>
    <w:rsid w:val="00F527F3"/>
    <w:rsid w:val="00F678E9"/>
    <w:rsid w:val="00F77880"/>
    <w:rsid w:val="00F918B4"/>
    <w:rsid w:val="00F94B27"/>
    <w:rsid w:val="00F96E7D"/>
    <w:rsid w:val="00F976EC"/>
    <w:rsid w:val="00FA1EBD"/>
    <w:rsid w:val="00FA25F8"/>
    <w:rsid w:val="00FA2D0A"/>
    <w:rsid w:val="00FA7855"/>
    <w:rsid w:val="00FB23D7"/>
    <w:rsid w:val="00FB6BB8"/>
    <w:rsid w:val="00FB78CC"/>
    <w:rsid w:val="00FC6F08"/>
    <w:rsid w:val="00FD491F"/>
    <w:rsid w:val="00FD5C50"/>
    <w:rsid w:val="00FE4FA3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8B01A"/>
  <w15:chartTrackingRefBased/>
  <w15:docId w15:val="{73E9E7F8-2A0D-4FB1-811C-1E345C80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9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9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9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9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9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9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9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9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9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9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9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9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9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9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9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9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9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9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9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9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9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9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9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9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421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21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2112"/>
    <w:rPr>
      <w:vertAlign w:val="superscript"/>
    </w:rPr>
  </w:style>
  <w:style w:type="paragraph" w:styleId="Revision">
    <w:name w:val="Revision"/>
    <w:hidden/>
    <w:uiPriority w:val="99"/>
    <w:semiHidden/>
    <w:rsid w:val="00B44D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73E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E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E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E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EE4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1FE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1FE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A1F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6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42A9A-3288-4192-A8D8-0F4EE5CA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Wells, Lee (Northern Powergrid)</dc:creator>
  <cp:keywords/>
  <dc:description/>
  <cp:lastModifiedBy>Craig Booth</cp:lastModifiedBy>
  <cp:revision>2</cp:revision>
  <dcterms:created xsi:type="dcterms:W3CDTF">2025-01-09T11:48:00Z</dcterms:created>
  <dcterms:modified xsi:type="dcterms:W3CDTF">2025-01-09T11:48:00Z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bdab50-b622-4a89-b2f3-2dc9b27fe77a_Enabled">
    <vt:lpwstr>true</vt:lpwstr>
  </property>
  <property fmtid="{D5CDD505-2E9C-101B-9397-08002B2CF9AE}" pid="3" name="MSIP_Label_4bbdab50-b622-4a89-b2f3-2dc9b27fe77a_SetDate">
    <vt:lpwstr>2024-12-04T11:21:05Z</vt:lpwstr>
  </property>
  <property fmtid="{D5CDD505-2E9C-101B-9397-08002B2CF9AE}" pid="4" name="MSIP_Label_4bbdab50-b622-4a89-b2f3-2dc9b27fe77a_Method">
    <vt:lpwstr>Privileged</vt:lpwstr>
  </property>
  <property fmtid="{D5CDD505-2E9C-101B-9397-08002B2CF9AE}" pid="5" name="MSIP_Label_4bbdab50-b622-4a89-b2f3-2dc9b27fe77a_Name">
    <vt:lpwstr>4bbdab50-b622-4a89-b2f3-2dc9b27fe77a</vt:lpwstr>
  </property>
  <property fmtid="{D5CDD505-2E9C-101B-9397-08002B2CF9AE}" pid="6" name="MSIP_Label_4bbdab50-b622-4a89-b2f3-2dc9b27fe77a_SiteId">
    <vt:lpwstr>953b0f83-1ce6-45c3-82c9-1d847e372339</vt:lpwstr>
  </property>
  <property fmtid="{D5CDD505-2E9C-101B-9397-08002B2CF9AE}" pid="7" name="MSIP_Label_4bbdab50-b622-4a89-b2f3-2dc9b27fe77a_ActionId">
    <vt:lpwstr>532aac6c-9329-4bfc-9c17-cfcc9f4a0532</vt:lpwstr>
  </property>
  <property fmtid="{D5CDD505-2E9C-101B-9397-08002B2CF9AE}" pid="8" name="MSIP_Label_4bbdab50-b622-4a89-b2f3-2dc9b27fe77a_ContentBits">
    <vt:lpwstr>0</vt:lpwstr>
  </property>
</Properties>
</file>